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70F06583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D50F4" w:rsidRPr="002D50F4">
        <w:t xml:space="preserve"> </w:t>
      </w:r>
      <w:r w:rsidR="00C17A15" w:rsidRPr="002D50F4">
        <w:rPr>
          <w:rFonts w:ascii="Arial" w:hAnsi="Arial" w:cs="Arial"/>
          <w:sz w:val="22"/>
          <w:szCs w:val="22"/>
        </w:rPr>
        <w:t>serv</w:t>
      </w:r>
      <w:r w:rsidR="00C17A15">
        <w:rPr>
          <w:rFonts w:ascii="Arial" w:hAnsi="Arial" w:cs="Arial"/>
          <w:sz w:val="22"/>
          <w:szCs w:val="22"/>
        </w:rPr>
        <w:t>ing</w:t>
      </w:r>
      <w:r w:rsidR="00C17A15" w:rsidRPr="002D50F4">
        <w:rPr>
          <w:rFonts w:ascii="Arial" w:hAnsi="Arial" w:cs="Arial"/>
          <w:sz w:val="22"/>
          <w:szCs w:val="22"/>
        </w:rPr>
        <w:t xml:space="preserve"> as </w:t>
      </w:r>
      <w:r w:rsidR="00C17A15">
        <w:rPr>
          <w:rFonts w:ascii="Arial" w:hAnsi="Arial" w:cs="Arial"/>
          <w:sz w:val="22"/>
          <w:szCs w:val="22"/>
        </w:rPr>
        <w:t xml:space="preserve">the </w:t>
      </w:r>
      <w:r w:rsidR="00C17A15" w:rsidRPr="002D50F4">
        <w:rPr>
          <w:rFonts w:ascii="Arial" w:hAnsi="Arial" w:cs="Arial"/>
          <w:sz w:val="22"/>
          <w:szCs w:val="22"/>
        </w:rPr>
        <w:t xml:space="preserve">Duty Officer on a rotating basis </w:t>
      </w:r>
      <w:r w:rsidR="00C17A15">
        <w:rPr>
          <w:rFonts w:ascii="Arial" w:hAnsi="Arial" w:cs="Arial"/>
          <w:sz w:val="22"/>
          <w:szCs w:val="22"/>
        </w:rPr>
        <w:t xml:space="preserve">and </w:t>
      </w:r>
      <w:r w:rsidR="002D50F4" w:rsidRPr="002D50F4">
        <w:rPr>
          <w:rFonts w:ascii="Arial" w:hAnsi="Arial" w:cs="Arial"/>
          <w:sz w:val="22"/>
          <w:szCs w:val="22"/>
        </w:rPr>
        <w:t xml:space="preserve">coordinating activities in support of the County’s Emergency Management Program. </w:t>
      </w:r>
      <w:r w:rsidR="00C17A15">
        <w:rPr>
          <w:rFonts w:ascii="Arial" w:hAnsi="Arial" w:cs="Arial"/>
          <w:sz w:val="22"/>
          <w:szCs w:val="22"/>
        </w:rPr>
        <w:t xml:space="preserve">Incumbents are working at the </w:t>
      </w:r>
      <w:r w:rsidR="00C17A15" w:rsidRPr="002D50F4">
        <w:rPr>
          <w:rFonts w:ascii="Arial" w:hAnsi="Arial" w:cs="Arial"/>
          <w:sz w:val="22"/>
          <w:szCs w:val="22"/>
        </w:rPr>
        <w:t>journey</w:t>
      </w:r>
      <w:r w:rsidR="00C17A15">
        <w:rPr>
          <w:rFonts w:ascii="Arial" w:hAnsi="Arial" w:cs="Arial"/>
          <w:sz w:val="22"/>
          <w:szCs w:val="22"/>
        </w:rPr>
        <w:t>-</w:t>
      </w:r>
      <w:r w:rsidR="00C17A15" w:rsidRPr="002D50F4">
        <w:rPr>
          <w:rFonts w:ascii="Arial" w:hAnsi="Arial" w:cs="Arial"/>
          <w:sz w:val="22"/>
          <w:szCs w:val="22"/>
        </w:rPr>
        <w:t>level</w:t>
      </w:r>
      <w:r w:rsidR="00C17A15">
        <w:rPr>
          <w:rFonts w:ascii="Arial" w:hAnsi="Arial" w:cs="Arial"/>
          <w:sz w:val="22"/>
          <w:szCs w:val="22"/>
        </w:rPr>
        <w:t xml:space="preserve">, and </w:t>
      </w:r>
      <w:r w:rsidR="00C17A15" w:rsidRPr="002D50F4">
        <w:rPr>
          <w:rFonts w:ascii="Arial" w:hAnsi="Arial" w:cs="Arial"/>
          <w:sz w:val="22"/>
          <w:szCs w:val="22"/>
        </w:rPr>
        <w:t xml:space="preserve">perform moderately complex </w:t>
      </w:r>
      <w:r w:rsidR="00C17A15">
        <w:rPr>
          <w:rFonts w:ascii="Arial" w:hAnsi="Arial" w:cs="Arial"/>
          <w:sz w:val="22"/>
          <w:szCs w:val="22"/>
        </w:rPr>
        <w:t>analysis</w:t>
      </w:r>
      <w:r w:rsidR="00C17A15" w:rsidRPr="002D50F4">
        <w:rPr>
          <w:rFonts w:ascii="Arial" w:hAnsi="Arial" w:cs="Arial"/>
          <w:sz w:val="22"/>
          <w:szCs w:val="22"/>
        </w:rPr>
        <w:t xml:space="preserve"> and research work</w:t>
      </w:r>
      <w:r w:rsidR="00C17A15">
        <w:rPr>
          <w:rFonts w:ascii="Arial" w:hAnsi="Arial" w:cs="Arial"/>
          <w:sz w:val="22"/>
          <w:szCs w:val="22"/>
        </w:rPr>
        <w:t>,</w:t>
      </w:r>
      <w:r w:rsidR="00C17A15" w:rsidRPr="002D50F4">
        <w:rPr>
          <w:rFonts w:ascii="Arial" w:hAnsi="Arial" w:cs="Arial"/>
          <w:sz w:val="22"/>
          <w:szCs w:val="22"/>
        </w:rPr>
        <w:t xml:space="preserve"> and project/program coordination.</w:t>
      </w:r>
      <w:r w:rsidR="00C17A15">
        <w:rPr>
          <w:rFonts w:ascii="Arial" w:hAnsi="Arial" w:cs="Arial"/>
          <w:sz w:val="22"/>
          <w:szCs w:val="22"/>
        </w:rPr>
        <w:t xml:space="preserve"> S</w:t>
      </w:r>
      <w:r w:rsidR="00C17A15" w:rsidRPr="002D50F4">
        <w:rPr>
          <w:rFonts w:ascii="Arial" w:hAnsi="Arial" w:cs="Arial"/>
          <w:sz w:val="22"/>
          <w:szCs w:val="22"/>
        </w:rPr>
        <w:t>ome positions may lead same or subordinate level staff on a limited basis.</w:t>
      </w:r>
      <w:r w:rsidR="0061732E">
        <w:rPr>
          <w:rFonts w:ascii="Arial" w:hAnsi="Arial" w:cs="Arial"/>
          <w:sz w:val="22"/>
          <w:szCs w:val="22"/>
        </w:rPr>
        <w:t xml:space="preserve">  </w:t>
      </w:r>
      <w:r w:rsidR="0061732E" w:rsidRPr="0061732E">
        <w:t xml:space="preserve"> </w:t>
      </w:r>
      <w:r w:rsidR="0061732E" w:rsidRPr="0061732E">
        <w:rPr>
          <w:rFonts w:ascii="Arial" w:hAnsi="Arial" w:cs="Arial"/>
          <w:sz w:val="22"/>
          <w:szCs w:val="22"/>
        </w:rPr>
        <w:t>The County’s Emergency Management Program includes preparedness and operations activities in mission areas of prevention, protection, mitigation, response, and recovery.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CC0306F" w14:textId="2DC8D001" w:rsidR="002D50F4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D50F4" w:rsidRPr="002D50F4">
        <w:rPr>
          <w:rFonts w:ascii="Arial" w:hAnsi="Arial" w:cs="Arial"/>
          <w:sz w:val="22"/>
          <w:szCs w:val="22"/>
        </w:rPr>
        <w:t xml:space="preserve">second level within a four-level series. </w:t>
      </w:r>
      <w:r w:rsidR="00C17A15">
        <w:rPr>
          <w:rFonts w:ascii="Arial" w:hAnsi="Arial" w:cs="Arial"/>
          <w:sz w:val="22"/>
          <w:szCs w:val="22"/>
        </w:rPr>
        <w:t>The EMP Coordinator</w:t>
      </w:r>
      <w:r w:rsidR="002D50F4" w:rsidRPr="002D50F4">
        <w:rPr>
          <w:rFonts w:ascii="Arial" w:hAnsi="Arial" w:cs="Arial"/>
          <w:sz w:val="22"/>
          <w:szCs w:val="22"/>
        </w:rPr>
        <w:t xml:space="preserve"> is distinguished from the EMP Manager classification in that incumbents in the EMP Manager classification manage all aspects of various emergency management programs and projects including </w:t>
      </w:r>
      <w:r w:rsidR="00C17A15">
        <w:rPr>
          <w:rFonts w:ascii="Arial" w:hAnsi="Arial" w:cs="Arial"/>
          <w:sz w:val="22"/>
          <w:szCs w:val="22"/>
        </w:rPr>
        <w:t xml:space="preserve">the </w:t>
      </w:r>
      <w:r w:rsidR="002D50F4" w:rsidRPr="002D50F4">
        <w:rPr>
          <w:rFonts w:ascii="Arial" w:hAnsi="Arial" w:cs="Arial"/>
          <w:sz w:val="22"/>
          <w:szCs w:val="22"/>
        </w:rPr>
        <w:t>scope of work, budget</w:t>
      </w:r>
      <w:r w:rsidR="00C17A15">
        <w:rPr>
          <w:rFonts w:ascii="Arial" w:hAnsi="Arial" w:cs="Arial"/>
          <w:sz w:val="22"/>
          <w:szCs w:val="22"/>
        </w:rPr>
        <w:t>,</w:t>
      </w:r>
      <w:r w:rsidR="002D50F4" w:rsidRPr="002D50F4">
        <w:rPr>
          <w:rFonts w:ascii="Arial" w:hAnsi="Arial" w:cs="Arial"/>
          <w:sz w:val="22"/>
          <w:szCs w:val="22"/>
        </w:rPr>
        <w:t xml:space="preserve"> and schedules.  Additionally, EMP Managers assume a leadership role during Emergency Operations Center (EOC) activations.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EFBDACC" w14:textId="729ED980" w:rsidR="00C17A15" w:rsidRPr="001F53C8" w:rsidRDefault="00C17A15" w:rsidP="001F53C8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 addition to the duties of the EMP Assistant classification, the EMP Coordinator will:</w:t>
      </w:r>
    </w:p>
    <w:p w14:paraId="19735BD9" w14:textId="0BE09287" w:rsidR="002D50F4" w:rsidRPr="002D50F4" w:rsidRDefault="002D50F4" w:rsidP="002D5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Coordinate components of major programs and/or projects; may individually coordinate smaller, less complex programs. </w:t>
      </w:r>
    </w:p>
    <w:p w14:paraId="799751CB" w14:textId="77777777" w:rsidR="002D50F4" w:rsidRPr="002D50F4" w:rsidRDefault="002D50F4" w:rsidP="002D5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Prepare routine to moderately complex components of the County’s Comprehensive Emergency Management Plan and other related prevention, protection, response, mitigation, and recovery plans.</w:t>
      </w:r>
    </w:p>
    <w:p w14:paraId="3D29E144" w14:textId="77777777" w:rsidR="002D50F4" w:rsidRPr="002D50F4" w:rsidRDefault="002D50F4" w:rsidP="002D5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Coordinate moderately complex contracts and grants including maintaining documentation and preparing draft/final reports as required.</w:t>
      </w:r>
    </w:p>
    <w:p w14:paraId="0AB3C5BF" w14:textId="4162088E" w:rsidR="002D50F4" w:rsidRPr="002D50F4" w:rsidRDefault="002D50F4" w:rsidP="002D5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Work with EMP Managers in the development and delivery of disaster management training programs, courses, and preparedness presentations to diverse audiences; schedule location and training; and coordinate training materials and other training needs as required. </w:t>
      </w:r>
    </w:p>
    <w:p w14:paraId="3868EAA3" w14:textId="3298D0AB" w:rsidR="002D50F4" w:rsidRPr="002D50F4" w:rsidRDefault="002D50F4" w:rsidP="002D5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Participate on an exercise design team representing </w:t>
      </w:r>
      <w:r w:rsidR="00C5399D">
        <w:rPr>
          <w:rFonts w:ascii="Arial" w:hAnsi="Arial" w:cs="Arial"/>
          <w:sz w:val="22"/>
          <w:szCs w:val="22"/>
        </w:rPr>
        <w:t xml:space="preserve">the </w:t>
      </w:r>
      <w:r w:rsidRPr="002D50F4">
        <w:rPr>
          <w:rFonts w:ascii="Arial" w:hAnsi="Arial" w:cs="Arial"/>
          <w:sz w:val="22"/>
          <w:szCs w:val="22"/>
        </w:rPr>
        <w:t xml:space="preserve">King County Office of Emergency Management. </w:t>
      </w:r>
    </w:p>
    <w:p w14:paraId="522EF352" w14:textId="77777777" w:rsidR="002D50F4" w:rsidRPr="002D50F4" w:rsidRDefault="002D50F4" w:rsidP="002D5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Act as emergency management “Duty Officer” to respond to Office of Emergency Management responsibilities during regular and non-business hours.</w:t>
      </w:r>
    </w:p>
    <w:p w14:paraId="6E397EEE" w14:textId="24C4DE29" w:rsidR="002D50F4" w:rsidRPr="002D50F4" w:rsidRDefault="002D50F4" w:rsidP="002D5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Lead and train same or subordinate level staff on an ongoing or project</w:t>
      </w:r>
      <w:r w:rsidR="00C5399D">
        <w:rPr>
          <w:rFonts w:ascii="Arial" w:hAnsi="Arial" w:cs="Arial"/>
          <w:sz w:val="22"/>
          <w:szCs w:val="22"/>
        </w:rPr>
        <w:t>-</w:t>
      </w:r>
      <w:r w:rsidRPr="002D50F4">
        <w:rPr>
          <w:rFonts w:ascii="Arial" w:hAnsi="Arial" w:cs="Arial"/>
          <w:sz w:val="22"/>
          <w:szCs w:val="22"/>
        </w:rPr>
        <w:t>specific basis.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4A0F888" w14:textId="5C03229B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Knowledge of current emergency management principles and practices, and </w:t>
      </w:r>
      <w:r w:rsidR="00C5399D">
        <w:rPr>
          <w:rFonts w:ascii="Arial" w:hAnsi="Arial" w:cs="Arial"/>
          <w:sz w:val="22"/>
          <w:szCs w:val="22"/>
        </w:rPr>
        <w:t>f</w:t>
      </w:r>
      <w:r w:rsidRPr="002D50F4">
        <w:rPr>
          <w:rFonts w:ascii="Arial" w:hAnsi="Arial" w:cs="Arial"/>
          <w:sz w:val="22"/>
          <w:szCs w:val="22"/>
        </w:rPr>
        <w:t xml:space="preserve">ederal, </w:t>
      </w:r>
      <w:r w:rsidR="00C5399D">
        <w:rPr>
          <w:rFonts w:ascii="Arial" w:hAnsi="Arial" w:cs="Arial"/>
          <w:sz w:val="22"/>
          <w:szCs w:val="22"/>
        </w:rPr>
        <w:t>s</w:t>
      </w:r>
      <w:r w:rsidRPr="002D50F4">
        <w:rPr>
          <w:rFonts w:ascii="Arial" w:hAnsi="Arial" w:cs="Arial"/>
          <w:sz w:val="22"/>
          <w:szCs w:val="22"/>
        </w:rPr>
        <w:t>tate</w:t>
      </w:r>
      <w:r w:rsidR="00C5399D">
        <w:rPr>
          <w:rFonts w:ascii="Arial" w:hAnsi="Arial" w:cs="Arial"/>
          <w:sz w:val="22"/>
          <w:szCs w:val="22"/>
        </w:rPr>
        <w:t>,</w:t>
      </w:r>
      <w:r w:rsidRPr="002D50F4">
        <w:rPr>
          <w:rFonts w:ascii="Arial" w:hAnsi="Arial" w:cs="Arial"/>
          <w:sz w:val="22"/>
          <w:szCs w:val="22"/>
        </w:rPr>
        <w:t xml:space="preserve"> and </w:t>
      </w:r>
      <w:r w:rsidR="00C5399D">
        <w:rPr>
          <w:rFonts w:ascii="Arial" w:hAnsi="Arial" w:cs="Arial"/>
          <w:sz w:val="22"/>
          <w:szCs w:val="22"/>
        </w:rPr>
        <w:t>c</w:t>
      </w:r>
      <w:r w:rsidRPr="002D50F4">
        <w:rPr>
          <w:rFonts w:ascii="Arial" w:hAnsi="Arial" w:cs="Arial"/>
          <w:sz w:val="22"/>
          <w:szCs w:val="22"/>
        </w:rPr>
        <w:t>ounty laws and regulations pertaining to emergency management</w:t>
      </w:r>
    </w:p>
    <w:p w14:paraId="6E6B5E42" w14:textId="0E9CEB20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Knowledge of current principles and practices in project </w:t>
      </w:r>
      <w:r w:rsidR="0061732E">
        <w:rPr>
          <w:rFonts w:ascii="Arial" w:hAnsi="Arial" w:cs="Arial"/>
          <w:sz w:val="22"/>
          <w:szCs w:val="22"/>
        </w:rPr>
        <w:t xml:space="preserve">and program </w:t>
      </w:r>
      <w:r w:rsidRPr="002D50F4">
        <w:rPr>
          <w:rFonts w:ascii="Arial" w:hAnsi="Arial" w:cs="Arial"/>
          <w:sz w:val="22"/>
          <w:szCs w:val="22"/>
        </w:rPr>
        <w:t>management, project cost accounting, and grants and contract management</w:t>
      </w:r>
    </w:p>
    <w:p w14:paraId="4D110182" w14:textId="762C8D4D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Skill in researching, gathering, analyzing, and synthesizing data; skill in paper and report writing </w:t>
      </w:r>
    </w:p>
    <w:p w14:paraId="2073B344" w14:textId="77777777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Skill in planning, organizing, and time management</w:t>
      </w:r>
    </w:p>
    <w:p w14:paraId="11B105C8" w14:textId="77777777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Skill in presenting statistical and narrative information to non-technical audiences </w:t>
      </w:r>
    </w:p>
    <w:p w14:paraId="4F378779" w14:textId="77777777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lastRenderedPageBreak/>
        <w:t xml:space="preserve">Skill in handling multiple competing priorities within tight timelines </w:t>
      </w:r>
    </w:p>
    <w:p w14:paraId="2055012E" w14:textId="77777777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Skill in working in a political environment</w:t>
      </w:r>
    </w:p>
    <w:p w14:paraId="781AFB7A" w14:textId="77777777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Skill in communicating orally and in writing, including making presentations </w:t>
      </w:r>
    </w:p>
    <w:p w14:paraId="52D125B1" w14:textId="36AD62F6" w:rsidR="00D53051" w:rsidRPr="00D53051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Skill in negotiating, problem-solving, and decision making </w:t>
      </w:r>
    </w:p>
    <w:p w14:paraId="0504306F" w14:textId="77777777" w:rsidR="002D50F4" w:rsidRDefault="002D50F4" w:rsidP="001E3558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6ADCFA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7EE3E8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102618B" w:rsidR="00005EC9" w:rsidRPr="00005EC9" w:rsidRDefault="002D50F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FFADE1B" w14:textId="77777777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Possession of a Valid Washington State Driver’s License </w:t>
      </w:r>
    </w:p>
    <w:p w14:paraId="26275ACC" w14:textId="77777777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 xml:space="preserve">Passing a thorough background check/investigation </w:t>
      </w:r>
    </w:p>
    <w:p w14:paraId="4ED3054C" w14:textId="34BA52DB" w:rsidR="002D50F4" w:rsidRPr="002D50F4" w:rsidRDefault="002D50F4" w:rsidP="002D50F4">
      <w:pPr>
        <w:spacing w:after="120"/>
        <w:rPr>
          <w:rFonts w:ascii="Arial" w:hAnsi="Arial" w:cs="Arial"/>
          <w:sz w:val="22"/>
          <w:szCs w:val="22"/>
        </w:rPr>
      </w:pPr>
      <w:r w:rsidRPr="002D50F4">
        <w:rPr>
          <w:rFonts w:ascii="Arial" w:hAnsi="Arial" w:cs="Arial"/>
          <w:sz w:val="22"/>
          <w:szCs w:val="22"/>
        </w:rPr>
        <w:t>Position requires serving in the Emergency Operations Center (EOC) in an operational capacity or at other locations as may be assigned during exercises, emergencies, or disasters</w:t>
      </w:r>
    </w:p>
    <w:p w14:paraId="45C0CEA6" w14:textId="1364E41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0332" w:type="dxa"/>
        <w:jc w:val="center"/>
        <w:tblLook w:val="01E0" w:firstRow="1" w:lastRow="1" w:firstColumn="1" w:lastColumn="1" w:noHBand="0" w:noVBand="0"/>
      </w:tblPr>
      <w:tblGrid>
        <w:gridCol w:w="2344"/>
        <w:gridCol w:w="4232"/>
        <w:gridCol w:w="3756"/>
      </w:tblGrid>
      <w:tr w:rsidR="008A30A0" w:rsidRPr="003E7835" w14:paraId="45C0CEAA" w14:textId="5DC787A8" w:rsidTr="001F53C8">
        <w:trPr>
          <w:trHeight w:val="360"/>
          <w:jc w:val="center"/>
        </w:trPr>
        <w:tc>
          <w:tcPr>
            <w:tcW w:w="2344" w:type="dxa"/>
            <w:tcBorders>
              <w:top w:val="double" w:sz="4" w:space="0" w:color="auto"/>
            </w:tcBorders>
          </w:tcPr>
          <w:p w14:paraId="45C0CEA8" w14:textId="11A673D8" w:rsidR="008A30A0" w:rsidRPr="003E7835" w:rsidRDefault="008A30A0" w:rsidP="001F53C8">
            <w:pPr>
              <w:spacing w:before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4232" w:type="dxa"/>
            <w:tcBorders>
              <w:top w:val="double" w:sz="4" w:space="0" w:color="auto"/>
            </w:tcBorders>
          </w:tcPr>
          <w:p w14:paraId="45C0CEA9" w14:textId="6826B3D7" w:rsidR="008A30A0" w:rsidRPr="00532BFA" w:rsidRDefault="008A30A0" w:rsidP="001F53C8">
            <w:pPr>
              <w:spacing w:before="120" w:after="120"/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  <w:tc>
          <w:tcPr>
            <w:tcW w:w="3756" w:type="dxa"/>
            <w:tcBorders>
              <w:top w:val="double" w:sz="4" w:space="0" w:color="auto"/>
            </w:tcBorders>
          </w:tcPr>
          <w:p w14:paraId="4AAC2919" w14:textId="77777777" w:rsidR="008A30A0" w:rsidRPr="00532BFA" w:rsidRDefault="008A30A0" w:rsidP="002D7EF3">
            <w:pPr>
              <w:rPr>
                <w:rFonts w:ascii="Arial" w:hAnsi="Arial" w:cs="Arial"/>
              </w:rPr>
            </w:pPr>
          </w:p>
        </w:tc>
      </w:tr>
      <w:tr w:rsidR="008A30A0" w:rsidRPr="003E7835" w14:paraId="45C0CEAD" w14:textId="49B18198" w:rsidTr="001F53C8">
        <w:trPr>
          <w:trHeight w:val="360"/>
          <w:jc w:val="center"/>
        </w:trPr>
        <w:tc>
          <w:tcPr>
            <w:tcW w:w="2344" w:type="dxa"/>
          </w:tcPr>
          <w:p w14:paraId="45C0CEAB" w14:textId="77777777" w:rsidR="008A30A0" w:rsidRPr="003E7835" w:rsidRDefault="008A30A0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4232" w:type="dxa"/>
          </w:tcPr>
          <w:p w14:paraId="45C0CEAC" w14:textId="4D38C22B" w:rsidR="008A30A0" w:rsidRPr="003E7835" w:rsidRDefault="008A30A0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56" w:type="dxa"/>
          </w:tcPr>
          <w:p w14:paraId="39C57212" w14:textId="77777777" w:rsidR="008A30A0" w:rsidRPr="003E7835" w:rsidRDefault="008A30A0" w:rsidP="002D7EF3">
            <w:pPr>
              <w:rPr>
                <w:rFonts w:ascii="Arial" w:hAnsi="Arial" w:cs="Arial"/>
              </w:rPr>
            </w:pPr>
          </w:p>
        </w:tc>
      </w:tr>
      <w:tr w:rsidR="008A30A0" w:rsidRPr="003E7835" w14:paraId="45C0CEB0" w14:textId="66B5EBD0" w:rsidTr="001F53C8">
        <w:trPr>
          <w:trHeight w:val="360"/>
          <w:jc w:val="center"/>
        </w:trPr>
        <w:tc>
          <w:tcPr>
            <w:tcW w:w="2344" w:type="dxa"/>
          </w:tcPr>
          <w:p w14:paraId="45C0CEAE" w14:textId="77777777" w:rsidR="008A30A0" w:rsidRPr="003E7835" w:rsidRDefault="008A30A0" w:rsidP="002D7EF3">
            <w:pPr>
              <w:rPr>
                <w:rFonts w:ascii="Arial" w:hAnsi="Arial" w:cs="Arial"/>
                <w:b/>
              </w:rPr>
            </w:pPr>
            <w:r w:rsidRPr="00EB7A1F"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4232" w:type="dxa"/>
          </w:tcPr>
          <w:p w14:paraId="45C0CEAF" w14:textId="78D7CECC" w:rsidR="008A30A0" w:rsidRPr="00532BFA" w:rsidRDefault="008A30A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56" w:type="dxa"/>
          </w:tcPr>
          <w:p w14:paraId="6C246B25" w14:textId="77777777" w:rsidR="008A30A0" w:rsidRDefault="008A30A0" w:rsidP="002D7EF3">
            <w:pPr>
              <w:rPr>
                <w:rFonts w:ascii="Arial" w:hAnsi="Arial" w:cs="Arial"/>
              </w:rPr>
            </w:pPr>
          </w:p>
        </w:tc>
      </w:tr>
      <w:tr w:rsidR="008A30A0" w:rsidRPr="003E7835" w14:paraId="45C0CEB3" w14:textId="4C2F4973" w:rsidTr="001F53C8">
        <w:trPr>
          <w:trHeight w:val="360"/>
          <w:jc w:val="center"/>
        </w:trPr>
        <w:tc>
          <w:tcPr>
            <w:tcW w:w="2344" w:type="dxa"/>
          </w:tcPr>
          <w:p w14:paraId="45C0CEB1" w14:textId="77777777" w:rsidR="008A30A0" w:rsidRPr="003E7835" w:rsidRDefault="008A30A0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4232" w:type="dxa"/>
          </w:tcPr>
          <w:p w14:paraId="2C5EB593" w14:textId="0352074B" w:rsidR="008A30A0" w:rsidRDefault="008A30A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A831D1">
              <w:rPr>
                <w:rFonts w:ascii="Arial" w:hAnsi="Arial" w:cs="Arial"/>
                <w:sz w:val="20"/>
              </w:rPr>
              <w:t>EMP Assistant, EMP Coordinator, EMP Manager</w:t>
            </w:r>
            <w:r w:rsidR="005D5844">
              <w:rPr>
                <w:rFonts w:ascii="Arial" w:hAnsi="Arial" w:cs="Arial"/>
                <w:sz w:val="20"/>
              </w:rPr>
              <w:t>,</w:t>
            </w:r>
            <w:r w:rsidRPr="00A831D1">
              <w:rPr>
                <w:rFonts w:ascii="Arial" w:hAnsi="Arial" w:cs="Arial"/>
                <w:sz w:val="20"/>
              </w:rPr>
              <w:t xml:space="preserve"> and EMP Senior Manager</w:t>
            </w:r>
          </w:p>
          <w:p w14:paraId="45C0CEB2" w14:textId="03CEB768" w:rsidR="008A30A0" w:rsidRPr="003E7835" w:rsidRDefault="008A30A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56" w:type="dxa"/>
          </w:tcPr>
          <w:p w14:paraId="4D21A6E7" w14:textId="77777777" w:rsidR="008A30A0" w:rsidRPr="00A831D1" w:rsidRDefault="008A30A0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A30A0" w:rsidRPr="003E7835" w14:paraId="45C0CEB6" w14:textId="1F0CDBDD" w:rsidTr="001F53C8">
        <w:trPr>
          <w:trHeight w:val="360"/>
          <w:jc w:val="center"/>
        </w:trPr>
        <w:tc>
          <w:tcPr>
            <w:tcW w:w="2344" w:type="dxa"/>
          </w:tcPr>
          <w:p w14:paraId="45C0CEB4" w14:textId="77777777" w:rsidR="008A30A0" w:rsidRPr="00EB7A1F" w:rsidRDefault="008A30A0" w:rsidP="002D7EF3">
            <w:pPr>
              <w:rPr>
                <w:rFonts w:ascii="Arial" w:hAnsi="Arial" w:cs="Arial"/>
                <w:b/>
              </w:rPr>
            </w:pPr>
            <w:r w:rsidRPr="00EB7A1F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4232" w:type="dxa"/>
          </w:tcPr>
          <w:p w14:paraId="5C532283" w14:textId="2CFD6F60" w:rsidR="008A30A0" w:rsidRPr="00EB7A1F" w:rsidRDefault="008A30A0" w:rsidP="001F53C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EB7A1F">
              <w:rPr>
                <w:rFonts w:ascii="Arial" w:hAnsi="Arial" w:cs="Arial"/>
                <w:sz w:val="20"/>
              </w:rPr>
              <w:t>2/2007</w:t>
            </w:r>
            <w:r>
              <w:rPr>
                <w:rFonts w:ascii="Arial" w:hAnsi="Arial" w:cs="Arial"/>
                <w:sz w:val="20"/>
              </w:rPr>
              <w:t xml:space="preserve"> - Created</w:t>
            </w:r>
          </w:p>
          <w:p w14:paraId="531ADE6A" w14:textId="6E124FF4" w:rsidR="008A30A0" w:rsidRPr="00EB7A1F" w:rsidRDefault="008A30A0" w:rsidP="00A831D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EB7A1F">
              <w:rPr>
                <w:rFonts w:ascii="Arial" w:hAnsi="Arial" w:cs="Arial"/>
                <w:sz w:val="20"/>
              </w:rPr>
              <w:t>12/2007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EB7A1F">
              <w:rPr>
                <w:rFonts w:ascii="Arial" w:hAnsi="Arial" w:cs="Arial"/>
                <w:sz w:val="20"/>
              </w:rPr>
              <w:t>Changed font and format</w:t>
            </w:r>
          </w:p>
          <w:p w14:paraId="45C0CEB5" w14:textId="5A832FD8" w:rsidR="008A30A0" w:rsidRPr="00EB7A1F" w:rsidRDefault="00682739" w:rsidP="00A831D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02/2023</w:t>
            </w:r>
            <w:r w:rsidR="008A30A0"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  <w:tc>
          <w:tcPr>
            <w:tcW w:w="3756" w:type="dxa"/>
          </w:tcPr>
          <w:p w14:paraId="4B5B6EFF" w14:textId="77777777" w:rsidR="008A30A0" w:rsidRDefault="008A30A0" w:rsidP="00FB4E2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A30A0" w:rsidRPr="003E7835" w14:paraId="23F6BF4F" w14:textId="0DBE11F1" w:rsidTr="001F53C8">
        <w:trPr>
          <w:trHeight w:val="360"/>
          <w:jc w:val="center"/>
        </w:trPr>
        <w:tc>
          <w:tcPr>
            <w:tcW w:w="2344" w:type="dxa"/>
          </w:tcPr>
          <w:p w14:paraId="35EF1323" w14:textId="77777777" w:rsidR="008A30A0" w:rsidRPr="003E7835" w:rsidRDefault="008A30A0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4232" w:type="dxa"/>
          </w:tcPr>
          <w:p w14:paraId="2FBDEB40" w14:textId="77777777" w:rsidR="008A30A0" w:rsidRPr="00A831D1" w:rsidRDefault="008A30A0" w:rsidP="00A831D1">
            <w:pPr>
              <w:pStyle w:val="text"/>
              <w:rPr>
                <w:rFonts w:ascii="Arial" w:hAnsi="Arial" w:cs="Arial"/>
                <w:sz w:val="20"/>
              </w:rPr>
            </w:pPr>
          </w:p>
        </w:tc>
        <w:tc>
          <w:tcPr>
            <w:tcW w:w="3756" w:type="dxa"/>
          </w:tcPr>
          <w:p w14:paraId="4FC31434" w14:textId="77777777" w:rsidR="008A30A0" w:rsidRPr="00A831D1" w:rsidRDefault="008A30A0" w:rsidP="00A831D1">
            <w:pPr>
              <w:pStyle w:val="text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6053EF83" w:rsidR="002B1C7C" w:rsidRDefault="0020145C" w:rsidP="0020145C">
      <w:pPr>
        <w:tabs>
          <w:tab w:val="left" w:pos="4680"/>
        </w:tabs>
        <w:spacing w:after="120"/>
      </w:pPr>
      <w:r>
        <w:tab/>
      </w: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3D218A3" w:rsidR="00DB4EC4" w:rsidRDefault="00280B7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Emergency Management Program Coordinator</w:t>
    </w:r>
  </w:p>
  <w:p w14:paraId="45C0CEBE" w14:textId="526E8156" w:rsidR="00DB4EC4" w:rsidRDefault="0068273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448E68B" w:rsidR="00DB4EC4" w:rsidRPr="003E7835" w:rsidRDefault="002D50F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5120200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A2A0C0E" w:rsidR="00DB4EC4" w:rsidRPr="003E7835" w:rsidRDefault="002D50F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EMERGENCY MANAGEMENT PROGRAM COORDINATOR </w:t>
          </w:r>
        </w:p>
      </w:tc>
    </w:tr>
  </w:tbl>
  <w:p w14:paraId="45C0CEC9" w14:textId="2355787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27751894">
    <w:abstractNumId w:val="9"/>
  </w:num>
  <w:num w:numId="2" w16cid:durableId="874274230">
    <w:abstractNumId w:val="14"/>
  </w:num>
  <w:num w:numId="3" w16cid:durableId="54474104">
    <w:abstractNumId w:val="5"/>
  </w:num>
  <w:num w:numId="4" w16cid:durableId="252051961">
    <w:abstractNumId w:val="2"/>
  </w:num>
  <w:num w:numId="5" w16cid:durableId="106051642">
    <w:abstractNumId w:val="15"/>
  </w:num>
  <w:num w:numId="6" w16cid:durableId="1409498814">
    <w:abstractNumId w:val="1"/>
  </w:num>
  <w:num w:numId="7" w16cid:durableId="1350791140">
    <w:abstractNumId w:val="12"/>
  </w:num>
  <w:num w:numId="8" w16cid:durableId="1981880662">
    <w:abstractNumId w:val="10"/>
  </w:num>
  <w:num w:numId="9" w16cid:durableId="1336037570">
    <w:abstractNumId w:val="3"/>
  </w:num>
  <w:num w:numId="10" w16cid:durableId="1895462662">
    <w:abstractNumId w:val="11"/>
  </w:num>
  <w:num w:numId="11" w16cid:durableId="368603870">
    <w:abstractNumId w:val="8"/>
  </w:num>
  <w:num w:numId="12" w16cid:durableId="1316952387">
    <w:abstractNumId w:val="13"/>
  </w:num>
  <w:num w:numId="13" w16cid:durableId="787546140">
    <w:abstractNumId w:val="7"/>
  </w:num>
  <w:num w:numId="14" w16cid:durableId="1800879248">
    <w:abstractNumId w:val="4"/>
  </w:num>
  <w:num w:numId="15" w16cid:durableId="1980571899">
    <w:abstractNumId w:val="0"/>
  </w:num>
  <w:num w:numId="16" w16cid:durableId="79789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C4ECD"/>
    <w:rsid w:val="000D17D8"/>
    <w:rsid w:val="0011050A"/>
    <w:rsid w:val="00130C46"/>
    <w:rsid w:val="001E3558"/>
    <w:rsid w:val="001E74D8"/>
    <w:rsid w:val="001F53C8"/>
    <w:rsid w:val="0020145C"/>
    <w:rsid w:val="00210127"/>
    <w:rsid w:val="002151BB"/>
    <w:rsid w:val="002634BB"/>
    <w:rsid w:val="00270A91"/>
    <w:rsid w:val="00280B72"/>
    <w:rsid w:val="002B1C7C"/>
    <w:rsid w:val="002C73CF"/>
    <w:rsid w:val="002D50F4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A169C"/>
    <w:rsid w:val="005D5844"/>
    <w:rsid w:val="005E1959"/>
    <w:rsid w:val="005F1FD9"/>
    <w:rsid w:val="006046E5"/>
    <w:rsid w:val="0061732E"/>
    <w:rsid w:val="00625458"/>
    <w:rsid w:val="0066152D"/>
    <w:rsid w:val="00682739"/>
    <w:rsid w:val="007032DB"/>
    <w:rsid w:val="00772A3C"/>
    <w:rsid w:val="00790DFB"/>
    <w:rsid w:val="007B510D"/>
    <w:rsid w:val="008719D2"/>
    <w:rsid w:val="008A30A0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831D1"/>
    <w:rsid w:val="00AF7566"/>
    <w:rsid w:val="00B012C5"/>
    <w:rsid w:val="00B2381E"/>
    <w:rsid w:val="00B36D30"/>
    <w:rsid w:val="00BB7AB0"/>
    <w:rsid w:val="00C17A15"/>
    <w:rsid w:val="00C35CCF"/>
    <w:rsid w:val="00C44A78"/>
    <w:rsid w:val="00C5399D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B7A1F"/>
    <w:rsid w:val="00F04650"/>
    <w:rsid w:val="00F34428"/>
    <w:rsid w:val="00F51B87"/>
    <w:rsid w:val="00FB4E2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MAQEFJTUDN2N-1642563518-1287</_dlc_DocId>
    <_dlc_DocIdUrl xmlns="dd90cae5-04f9-4ad6-b687-7fa19d8f306c">
      <Url>https://kc1.sharepoint.com/teams/DESa/CC/compensation/_layouts/15/DocIdRedir.aspx?ID=MAQEFJTUDN2N-1642563518-1287</Url>
      <Description>MAQEFJTUDN2N-1642563518-1287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7F0F5D-09F0-4E68-A84F-B657EE6EAF1C}"/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3624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PROGRAM COORDINATOR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2022-09-12T16:31:00Z</dcterms:created>
  <dcterms:modified xsi:type="dcterms:W3CDTF">2023-02-10T23:13:00Z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500c1ea6-1b87-4965-a9b0-bf66c097abf3</vt:lpwstr>
  </property>
  <property fmtid="{D5CDD505-2E9C-101B-9397-08002B2CF9AE}" pid="5" name="GrammarlyDocumentId">
    <vt:lpwstr>f1058aa3fcc7b46f4c185a57df1b470dcb65b98cc14d1b1e5991e1c59fcc84ff</vt:lpwstr>
  </property>
  <property fmtid="{D5CDD505-2E9C-101B-9397-08002B2CF9AE}" pid="6" name="Classification Code">
    <vt:lpwstr>5120200</vt:lpwstr>
  </property>
  <property fmtid="{D5CDD505-2E9C-101B-9397-08002B2CF9AE}" pid="7" name="ERMS Category">
    <vt:lpwstr>Position Classifications (PER-03-001)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https://kc1.sharepoint.com/teams/DESa/CC/compensation/_layouts/15/wrkstat.aspx?List=16bd73ee-b5fc-4313-9283-26a4fcd441b4&amp;WorkflowInstanceName=572a9938-4ff4-4cc5-9292-4f8fe7eff582, Approving Class Doc</vt:lpwstr>
  </property>
  <property fmtid="{D5CDD505-2E9C-101B-9397-08002B2CF9AE}" pid="10" name="Career Family">
    <vt:lpwstr>NA</vt:lpwstr>
  </property>
  <property fmtid="{D5CDD505-2E9C-101B-9397-08002B2CF9AE}" pid="11" name="Career Series">
    <vt:lpwstr>NA</vt:lpwstr>
  </property>
</Properties>
</file>