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2F818F91" w14:textId="77777777" w:rsidR="00606343" w:rsidRDefault="00606343">
      <w:pPr>
        <w:spacing w:before="120" w:after="120"/>
        <w:rPr>
          <w:rFonts w:ascii="Arial" w:hAnsi="Arial" w:cs="Arial"/>
          <w:sz w:val="22"/>
          <w:szCs w:val="22"/>
        </w:rPr>
      </w:pPr>
      <w:r w:rsidRPr="00606343">
        <w:rPr>
          <w:rFonts w:ascii="Arial" w:hAnsi="Arial" w:cs="Arial"/>
          <w:sz w:val="22"/>
          <w:szCs w:val="22"/>
        </w:rPr>
        <w:t>The Enterprise Architect enables business and technology leaders make balanced and prioritized investment decisions that account for current operational demands, disruptions, and opportunities with the longer-term strategic vision of the County; collaborates with stakeholders, leadership, and subject matter experts in building a comprehensive view of the county's strategy, processes, information, and information technology assets securing business and IT alignment; leading efforts that link the business mission, strategy, and processes to the IT strategy and documenting this effort using multiple architectural models and/or views that show current and future business needs are met in an efficient, sustainable, agile, and adaptable manner; directs, researches, and evaluates industry and market trends and emerging technology; and be assigned to the application, business, data, infrastructure, network, security, or any emerging enterprise architect specialty.</w:t>
      </w:r>
    </w:p>
    <w:p w14:paraId="45C0CE96" w14:textId="41D5509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34A2BA7" w14:textId="1E4193B5" w:rsidR="00606343" w:rsidRDefault="00DF607B" w:rsidP="0060634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>a single</w:t>
      </w:r>
      <w:r w:rsidR="000B0FEE">
        <w:rPr>
          <w:rFonts w:ascii="Arial" w:hAnsi="Arial" w:cs="Arial"/>
          <w:sz w:val="22"/>
          <w:szCs w:val="22"/>
        </w:rPr>
        <w:t>-</w:t>
      </w:r>
      <w:r w:rsidR="0090245D">
        <w:rPr>
          <w:rFonts w:ascii="Arial" w:hAnsi="Arial" w:cs="Arial"/>
          <w:sz w:val="22"/>
          <w:szCs w:val="22"/>
        </w:rPr>
        <w:t>level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A2D01">
        <w:rPr>
          <w:rFonts w:ascii="Arial" w:hAnsi="Arial" w:cs="Arial"/>
          <w:sz w:val="22"/>
          <w:szCs w:val="22"/>
        </w:rPr>
        <w:t xml:space="preserve">This classification is distinguished from </w:t>
      </w:r>
      <w:r w:rsidR="00606343">
        <w:rPr>
          <w:rFonts w:ascii="Arial" w:hAnsi="Arial" w:cs="Arial"/>
          <w:sz w:val="22"/>
          <w:szCs w:val="22"/>
        </w:rPr>
        <w:t>the Solutions Architect classification in that the</w:t>
      </w:r>
      <w:r w:rsidR="00DB415C">
        <w:rPr>
          <w:rFonts w:ascii="Arial" w:hAnsi="Arial" w:cs="Arial"/>
          <w:sz w:val="22"/>
          <w:szCs w:val="22"/>
        </w:rPr>
        <w:t xml:space="preserve"> incumbent in the </w:t>
      </w:r>
      <w:r w:rsidR="00606343">
        <w:rPr>
          <w:rFonts w:ascii="Arial" w:hAnsi="Arial" w:cs="Arial"/>
          <w:sz w:val="22"/>
          <w:szCs w:val="22"/>
        </w:rPr>
        <w:t>Solutions</w:t>
      </w:r>
      <w:r w:rsidR="00DB415C">
        <w:rPr>
          <w:rFonts w:ascii="Arial" w:hAnsi="Arial" w:cs="Arial"/>
          <w:sz w:val="22"/>
          <w:szCs w:val="22"/>
        </w:rPr>
        <w:t xml:space="preserve"> Architect </w:t>
      </w:r>
      <w:r w:rsidR="00606343">
        <w:rPr>
          <w:rFonts w:ascii="Arial" w:hAnsi="Arial" w:cs="Arial"/>
          <w:sz w:val="22"/>
          <w:szCs w:val="22"/>
        </w:rPr>
        <w:t xml:space="preserve">is </w:t>
      </w:r>
      <w:r w:rsidR="00606343" w:rsidRPr="00606343">
        <w:rPr>
          <w:rFonts w:ascii="Arial" w:hAnsi="Arial" w:cs="Arial"/>
          <w:sz w:val="22"/>
          <w:szCs w:val="22"/>
        </w:rPr>
        <w:t>creating and developing highly technical Information Technology (IT) architectural designs, which may include hardware, software, data, and communications technology spanning multiple platforms to support King County’s long-term business needs</w:t>
      </w:r>
      <w:r w:rsidR="00606343">
        <w:rPr>
          <w:rFonts w:ascii="Arial" w:hAnsi="Arial" w:cs="Arial"/>
          <w:sz w:val="22"/>
          <w:szCs w:val="22"/>
        </w:rPr>
        <w:t>.</w:t>
      </w:r>
      <w:r w:rsidR="00047155">
        <w:rPr>
          <w:rFonts w:ascii="Arial" w:hAnsi="Arial" w:cs="Arial"/>
          <w:sz w:val="22"/>
          <w:szCs w:val="22"/>
        </w:rPr>
        <w:t xml:space="preserve">  Incumbents collaborate with technical staff on application, long-term information, data, technical design, pattern, and reference solutions.</w:t>
      </w:r>
    </w:p>
    <w:p w14:paraId="45C0CE98" w14:textId="3C4B640D" w:rsidR="00DF607B" w:rsidRPr="00D02F5B" w:rsidRDefault="00DF607B" w:rsidP="00606343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144BFAA" w14:textId="77777777" w:rsidR="000B0FEE" w:rsidRPr="000B0FEE" w:rsidRDefault="000B0FEE" w:rsidP="000B0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B0FEE">
        <w:rPr>
          <w:rFonts w:ascii="Arial" w:hAnsi="Arial" w:cs="Arial"/>
          <w:sz w:val="22"/>
          <w:szCs w:val="22"/>
        </w:rPr>
        <w:t>Establish and maintain alignment among the enterprise data architecture, the strategic IT plan, strategic priorities, application and integration systems analysis and design, and the enterprise technology architecture; support all architectural disciplines and champion architectural initiatives.</w:t>
      </w:r>
    </w:p>
    <w:p w14:paraId="5579C97A" w14:textId="77777777" w:rsidR="000B0FEE" w:rsidRPr="000B0FEE" w:rsidRDefault="000B0FEE" w:rsidP="000B0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B0FEE">
        <w:rPr>
          <w:rFonts w:ascii="Arial" w:hAnsi="Arial" w:cs="Arial"/>
          <w:sz w:val="22"/>
          <w:szCs w:val="22"/>
        </w:rPr>
        <w:t>Lead and facilitate the creation of governing principles to guide Enterprise Architecture decision-making.</w:t>
      </w:r>
    </w:p>
    <w:p w14:paraId="3C333CAA" w14:textId="77777777" w:rsidR="000B0FEE" w:rsidRPr="000B0FEE" w:rsidRDefault="000B0FEE" w:rsidP="000B0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B0FEE">
        <w:rPr>
          <w:rFonts w:ascii="Arial" w:hAnsi="Arial" w:cs="Arial"/>
          <w:sz w:val="22"/>
          <w:szCs w:val="22"/>
        </w:rPr>
        <w:t>Provide strategic consultation to business and IT leaders; advise on options, risks, costs versus benefits, system impacts, and technology priorities.</w:t>
      </w:r>
    </w:p>
    <w:p w14:paraId="14AB1C74" w14:textId="77777777" w:rsidR="000B0FEE" w:rsidRPr="000B0FEE" w:rsidRDefault="000B0FEE" w:rsidP="000B0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B0FEE">
        <w:rPr>
          <w:rFonts w:ascii="Arial" w:hAnsi="Arial" w:cs="Arial"/>
          <w:sz w:val="22"/>
          <w:szCs w:val="22"/>
        </w:rPr>
        <w:t>Review, analyze, translate, and/or develop architectural requirements for the organization.</w:t>
      </w:r>
    </w:p>
    <w:p w14:paraId="036F47B1" w14:textId="77777777" w:rsidR="000B0FEE" w:rsidRPr="000B0FEE" w:rsidRDefault="000B0FEE" w:rsidP="000B0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B0FEE">
        <w:rPr>
          <w:rFonts w:ascii="Arial" w:hAnsi="Arial" w:cs="Arial"/>
          <w:sz w:val="22"/>
          <w:szCs w:val="22"/>
        </w:rPr>
        <w:t>Integrate enterprise architecture to current and future projects through project team consultation; modify enterprise architecture as necessary.</w:t>
      </w:r>
    </w:p>
    <w:p w14:paraId="5F1DF198" w14:textId="77777777" w:rsidR="000B0FEE" w:rsidRPr="000B0FEE" w:rsidRDefault="000B0FEE" w:rsidP="000B0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B0FEE">
        <w:rPr>
          <w:rFonts w:ascii="Arial" w:hAnsi="Arial" w:cs="Arial"/>
          <w:sz w:val="22"/>
          <w:szCs w:val="22"/>
        </w:rPr>
        <w:t>Define and maintain best practice guidelines and standards for data, metadata, data modeling, and management; ensure compliance with technology architecture standards and best practices; and/or advise senior IT staff and management on process improvement for application selection or development, integration, design, and implementation.</w:t>
      </w:r>
    </w:p>
    <w:p w14:paraId="1ACA3913" w14:textId="77777777" w:rsidR="000B0FEE" w:rsidRPr="000B0FEE" w:rsidRDefault="000B0FEE" w:rsidP="000B0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B0FEE">
        <w:rPr>
          <w:rFonts w:ascii="Arial" w:hAnsi="Arial" w:cs="Arial"/>
          <w:sz w:val="22"/>
          <w:szCs w:val="22"/>
        </w:rPr>
        <w:t>Lead the evaluation and implementation of data-related and new technologies to improve the county’s ability to capture and integrate data and represent a cross-domain perspective.</w:t>
      </w:r>
    </w:p>
    <w:p w14:paraId="5AFC541C" w14:textId="77777777" w:rsidR="000B0FEE" w:rsidRPr="000B0FEE" w:rsidRDefault="000B0FEE" w:rsidP="000B0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B0FEE">
        <w:rPr>
          <w:rFonts w:ascii="Arial" w:hAnsi="Arial" w:cs="Arial"/>
          <w:sz w:val="22"/>
          <w:szCs w:val="22"/>
        </w:rPr>
        <w:t>Provide subject matter expertise on budget requests, cost/benefit analyses, technical evaluations, feasibility studies, and/or proposals and Requests for Proposal or Information.</w:t>
      </w:r>
    </w:p>
    <w:p w14:paraId="1D339795" w14:textId="77777777" w:rsidR="000B0FEE" w:rsidRPr="000B0FEE" w:rsidRDefault="000B0FEE" w:rsidP="000B0F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0B0FEE">
        <w:rPr>
          <w:rFonts w:ascii="Arial" w:hAnsi="Arial" w:cs="Arial"/>
          <w:sz w:val="22"/>
          <w:szCs w:val="22"/>
        </w:rPr>
        <w:t>Create County documentation standards, including architectural processes, templates, technical diagrams, and solution design documents; encourage the use of County standard modeling methods and communication; and conduct or coordinate training on standard methods and diagramming standards.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lastRenderedPageBreak/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5F4AE7B3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57B247A2" w:rsidR="00005EC9" w:rsidRPr="00005EC9" w:rsidRDefault="000B0FEE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6D72EDF0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0B0FEE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6D1EF31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0B0FEE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</w:t>
      </w:r>
      <w:proofErr w:type="gramStart"/>
      <w:r w:rsidR="00005EC9">
        <w:rPr>
          <w:rFonts w:ascii="Arial" w:hAnsi="Arial" w:cs="Arial"/>
          <w:sz w:val="22"/>
          <w:szCs w:val="22"/>
        </w:rPr>
        <w:t>required</w:t>
      </w:r>
      <w:proofErr w:type="gramEnd"/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9A36893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6D07B2">
              <w:rPr>
                <w:rFonts w:ascii="Arial" w:hAnsi="Arial" w:cs="Arial"/>
              </w:rPr>
              <w:t>Computer</w:t>
            </w:r>
            <w:r w:rsidR="004367A2" w:rsidRPr="00532BFA">
              <w:rPr>
                <w:rFonts w:ascii="Arial" w:hAnsi="Arial" w:cs="Arial"/>
              </w:rPr>
              <w:t xml:space="preserve"> 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1D7BA36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C0F8AA7" w:rsidR="00DF607B" w:rsidRPr="00532BFA" w:rsidRDefault="006D07B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4B46E4C3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69B6684" w:rsidR="002D7EF3" w:rsidRDefault="00B451A8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E1E1F89" w:rsidR="00DB4EC4" w:rsidRDefault="00B451A8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Enterprise Architect</w:t>
    </w:r>
  </w:p>
  <w:p w14:paraId="45C0CEBE" w14:textId="337EEADA" w:rsidR="00DB4EC4" w:rsidRDefault="00B451A8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B451A8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85C1ED8" w:rsidR="00DB4EC4" w:rsidRPr="003E7835" w:rsidRDefault="00B451A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7309200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2C3F67C" w:rsidR="00DB4EC4" w:rsidRPr="003E7835" w:rsidRDefault="009A7C95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ENTERPRISE</w:t>
          </w:r>
          <w:r w:rsidR="000B0FEE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ARCHITECT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598902719">
    <w:abstractNumId w:val="9"/>
  </w:num>
  <w:num w:numId="2" w16cid:durableId="1364743623">
    <w:abstractNumId w:val="14"/>
  </w:num>
  <w:num w:numId="3" w16cid:durableId="1503012679">
    <w:abstractNumId w:val="5"/>
  </w:num>
  <w:num w:numId="4" w16cid:durableId="72044051">
    <w:abstractNumId w:val="2"/>
  </w:num>
  <w:num w:numId="5" w16cid:durableId="1082877744">
    <w:abstractNumId w:val="15"/>
  </w:num>
  <w:num w:numId="6" w16cid:durableId="59598101">
    <w:abstractNumId w:val="1"/>
  </w:num>
  <w:num w:numId="7" w16cid:durableId="1659919476">
    <w:abstractNumId w:val="12"/>
  </w:num>
  <w:num w:numId="8" w16cid:durableId="1754550782">
    <w:abstractNumId w:val="10"/>
  </w:num>
  <w:num w:numId="9" w16cid:durableId="1686714212">
    <w:abstractNumId w:val="3"/>
  </w:num>
  <w:num w:numId="10" w16cid:durableId="435759495">
    <w:abstractNumId w:val="11"/>
  </w:num>
  <w:num w:numId="11" w16cid:durableId="2061587693">
    <w:abstractNumId w:val="8"/>
  </w:num>
  <w:num w:numId="12" w16cid:durableId="822350144">
    <w:abstractNumId w:val="13"/>
  </w:num>
  <w:num w:numId="13" w16cid:durableId="608321815">
    <w:abstractNumId w:val="7"/>
  </w:num>
  <w:num w:numId="14" w16cid:durableId="1744838832">
    <w:abstractNumId w:val="4"/>
  </w:num>
  <w:num w:numId="15" w16cid:durableId="1647125959">
    <w:abstractNumId w:val="0"/>
  </w:num>
  <w:num w:numId="16" w16cid:durableId="1534197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47155"/>
    <w:rsid w:val="0009471F"/>
    <w:rsid w:val="000A3314"/>
    <w:rsid w:val="000B0FEE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06343"/>
    <w:rsid w:val="00625458"/>
    <w:rsid w:val="0066152D"/>
    <w:rsid w:val="006D07B2"/>
    <w:rsid w:val="007032DB"/>
    <w:rsid w:val="007200AD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A7C95"/>
    <w:rsid w:val="009F1611"/>
    <w:rsid w:val="00A001F2"/>
    <w:rsid w:val="00A55225"/>
    <w:rsid w:val="00AF7566"/>
    <w:rsid w:val="00B012C5"/>
    <w:rsid w:val="00B02B03"/>
    <w:rsid w:val="00B2381E"/>
    <w:rsid w:val="00B36D30"/>
    <w:rsid w:val="00B451A8"/>
    <w:rsid w:val="00BA2D01"/>
    <w:rsid w:val="00BB7AB0"/>
    <w:rsid w:val="00C35CCF"/>
    <w:rsid w:val="00C44A78"/>
    <w:rsid w:val="00C5534D"/>
    <w:rsid w:val="00CE11AD"/>
    <w:rsid w:val="00D17BDF"/>
    <w:rsid w:val="00D53051"/>
    <w:rsid w:val="00D73622"/>
    <w:rsid w:val="00DB415C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14955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047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MAQEFJTUDN2N-1642563518-1358</_dlc_DocId>
    <_dlc_DocIdUrl xmlns="dd90cae5-04f9-4ad6-b687-7fa19d8f306c">
      <Url>https://kc1.sharepoint.com/teams/DESa/CC/compensation/_layouts/15/DocIdRedir.aspx?ID=MAQEFJTUDN2N-1642563518-1358</Url>
      <Description>MAQEFJTUDN2N-1642563518-1358</Description>
    </_dlc_DocIdUrl>
  </documentManagement>
</p:propertie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A150D1-F431-4488-819D-9C281ADCA181}"/>
</file>

<file path=customXml/itemProps4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3660</Characters>
  <Application>Microsoft Office Word</Application>
  <DocSecurity>2</DocSecurity>
  <Lines>64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ENTERPRISE ARCHITECT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2023-10-05T17:41:00Z</dcterms:created>
  <dcterms:modified xsi:type="dcterms:W3CDTF">2024-01-03T00:16:00Z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bb0c9887-e547-4e3b-94c2-2bf4b8aab290</vt:lpwstr>
  </property>
  <property fmtid="{D5CDD505-2E9C-101B-9397-08002B2CF9AE}" pid="5" name="GrammarlyDocumentId">
    <vt:lpwstr>703ef1b328e071441414e5e7ed5ab3b24c6c8e421d4e1158371be1a6e51e2c9f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https://kc1.sharepoint.com/teams/DESa/CC/compensation/_layouts/15/wrkstat.aspx?List=16bd73ee-b5fc-4313-9283-26a4fcd441b4&amp;WorkflowInstanceName=148a1690-b6f6-48d5-89cb-1ba4113fe416,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7309200</vt:lpwstr>
  </property>
</Properties>
</file>